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b/>
          <w:bCs/>
          <w:color w:val="1F3864"/>
          <w:sz w:val="32"/>
          <w:szCs w:val="32"/>
        </w:rPr>
        <w:t xml:space="preserve">BASELINE TESTING</w:t>
      </w:r>
    </w:p>
    <w:p>
      <w:pPr>
        <w:pBdr>
          <w:bottom w:val="single" w:color="1F3864" w:sz="8" w:space="2"/>
        </w:pBdr>
        <w:spacing w:after="160"/>
      </w:pPr>
      <w:r>
        <w:rPr>
          <w:i/>
          <w:iCs/>
          <w:color w:val="595959"/>
          <w:sz w:val="18"/>
          <w:szCs w:val="18"/>
        </w:rPr>
        <w:t xml:space="preserve">Best-in-class Grade-Specific Assessments · South Africa</w:t>
      </w:r>
    </w:p>
    <w:p>
      <w:pPr>
        <w:spacing w:after="200"/>
      </w:pPr>
      <w:r>
        <w:rPr>
          <w:b/>
          <w:bCs/>
          <w:color w:val="1F3864"/>
          <w:sz w:val="26"/>
          <w:szCs w:val="26"/>
        </w:rPr>
        <w:t xml:space="preserve">National Benchmark Test (NBT) — Entry Form Information</w:t>
      </w:r>
    </w:p>
    <w:p>
      <w:pPr>
        <w:spacing w:after="120"/>
      </w:pPr>
      <w:r>
        <w:rPr>
          <w:sz w:val="20"/>
          <w:szCs w:val="20"/>
        </w:rPr>
        <w:t xml:space="preserve">The National Benchmark Test (NBT) prepares Grade 12 learners for university-entry benchmark assessments. It covers Mathematics, Quantitative Literacy and Academic Literacy, helping matriculants gauge and strengthen their readiness before the official NBT sittings. NBT entries are written online.</w:t>
      </w:r>
    </w:p>
    <w:p>
      <w:pPr>
        <w:spacing w:after="100" w:before="200"/>
      </w:pPr>
      <w:r>
        <w:rPr>
          <w:b/>
          <w:bCs/>
          <w:color w:val="1F3864"/>
          <w:sz w:val="22"/>
          <w:szCs w:val="22"/>
        </w:rPr>
        <w:t xml:space="preserve">How to enter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0"/>
          <w:szCs w:val="20"/>
        </w:rPr>
        <w:t xml:space="preserve">Complete the learner and contact details below (individual entries welcome).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0"/>
          <w:szCs w:val="20"/>
        </w:rPr>
        <w:t xml:space="preserve">Select the components required: Mathematics, Quantitative Literacy and/or Academic Literacy.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0"/>
          <w:szCs w:val="20"/>
        </w:rPr>
        <w:t xml:space="preserve">Proceed to payment via the online store, then await your confirmation email and access link.</w:t>
      </w:r>
    </w:p>
    <w:p>
      <w:pPr>
        <w:spacing w:after="100" w:before="200"/>
      </w:pPr>
      <w:r>
        <w:rPr>
          <w:b/>
          <w:bCs/>
          <w:color w:val="1F3864"/>
          <w:sz w:val="22"/>
          <w:szCs w:val="22"/>
        </w:rPr>
        <w:t xml:space="preserve">Components &amp; fees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4360"/>
      </w:tblGrid>
      <w:tr>
        <w:trPr>
          <w:tblHeader/>
        </w:trPr>
        <w:tc>
          <w:tcPr>
            <w:tcW w:type="dxa" w:w="5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F3864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Entry type</w:t>
            </w:r>
          </w:p>
        </w:tc>
        <w:tc>
          <w:tcPr>
            <w:tcW w:type="dxa" w:w="43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F3864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Fee per learner</w:t>
            </w:r>
          </w:p>
        </w:tc>
      </w:tr>
      <w:tr>
        <w:tc>
          <w:tcPr>
            <w:tcW w:type="dxa" w:w="5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>NBT Mathematics</w:t>
            </w:r>
          </w:p>
        </w:tc>
        <w:tc>
          <w:tcPr>
            <w:tcW w:type="dxa" w:w="43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R100</w:t>
            </w:r>
          </w:p>
        </w:tc>
      </w:tr>
      <w:tr>
        <w:tc>
          <w:tcPr>
            <w:tcW w:type="dxa" w:w="5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4F6FB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>NBT Quantitative Literacy</w:t>
            </w:r>
          </w:p>
        </w:tc>
        <w:tc>
          <w:tcPr>
            <w:tcW w:type="dxa" w:w="43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4F6FB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R100</w:t>
            </w:r>
          </w:p>
        </w:tc>
      </w:tr>
      <w:tr>
        <w:tc>
          <w:tcPr>
            <w:tcW w:type="dxa" w:w="5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>NBT Academic Literacy</w:t>
            </w:r>
          </w:p>
        </w:tc>
        <w:tc>
          <w:tcPr>
            <w:tcW w:type="dxa" w:w="43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R100</w:t>
            </w:r>
          </w:p>
        </w:tc>
      </w:tr>
      <w:tr>
        <w:tc>
          <w:tcPr>
            <w:tcW w:type="dxa" w:w="5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4F6FB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>Bundle: Maths + QL + AL</w:t>
            </w:r>
          </w:p>
        </w:tc>
        <w:tc>
          <w:tcPr>
            <w:tcW w:type="dxa" w:w="43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4F6FB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R699</w:t>
            </w:r>
          </w:p>
        </w:tc>
      </w:tr>
    </w:tbl>
    <w:p>
      <w:pPr>
        <w:spacing w:after="100" w:before="200"/>
      </w:pPr>
      <w:r>
        <w:rPr>
          <w:b/>
          <w:bCs/>
          <w:color w:val="1F3864"/>
          <w:sz w:val="22"/>
          <w:szCs w:val="22"/>
        </w:rPr>
        <w:t xml:space="preserve">Learner &amp; contact details</w:t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Learner full name:  </w:t>
      </w:r>
      <w:r>
        <w:ptab w:alignment="right" w:relativeTo="margin" w:leader="dot"/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Grade:  </w:t>
      </w:r>
      <w:r>
        <w:ptab w:alignment="right" w:relativeTo="margin" w:leader="dot"/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School (if applicable):  </w:t>
      </w:r>
      <w:r>
        <w:ptab w:alignment="right" w:relativeTo="margin" w:leader="dot"/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Parent / learner mobile number:  </w:t>
      </w:r>
      <w:r>
        <w:ptab w:alignment="right" w:relativeTo="margin" w:leader="dot"/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Email address:  </w:t>
      </w:r>
      <w:r>
        <w:ptab w:alignment="right" w:relativeTo="margin" w:leader="dot"/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Province:  </w:t>
      </w:r>
      <w:r>
        <w:ptab w:alignment="right" w:relativeTo="margin" w:leader="dot"/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Components required:  </w:t>
      </w:r>
      <w:r>
        <w:ptab w:alignment="right" w:relativeTo="margin" w:leader="dot"/>
      </w:r>
    </w:p>
    <w:p>
      <w:pPr>
        <w:pBdr>
          <w:top w:val="single" w:color="1F3864" w:sz="6" w:space="2"/>
        </w:pBdr>
        <w:spacing w:after="0" w:before="320"/>
      </w:pPr>
      <w:r>
        <w:t xml:space="preserve"/>
      </w:r>
    </w:p>
    <w:p>
      <w:pPr>
        <w:spacing w:before="80"/>
        <w:jc w:val="center"/>
      </w:pPr>
      <w:r>
        <w:rPr>
          <w:color w:val="595959"/>
          <w:sz w:val="16"/>
          <w:szCs w:val="16"/>
        </w:rPr>
        <w:t xml:space="preserve">Info@baselinetesting.co.za  ·  067 091 1241  ·  Bryanston, Gauteng, 2191</w:t>
      </w:r>
    </w:p>
    <w:p>
      <w:pPr>
        <w:jc w:val="center"/>
      </w:pPr>
      <w:r>
        <w:rPr>
          <w:color w:val="1F3864"/>
          <w:sz w:val="16"/>
          <w:szCs w:val="16"/>
        </w:rPr>
        <w:t xml:space="preserve">www.baselinetesting.co.za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2026-07-11T21:19:10.399Z</dcterms:created>
  <dcterms:modified xsi:type="dcterms:W3CDTF">2026-07-11T21:19:10.399Z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